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AB" w:rsidRDefault="00C750AB" w:rsidP="00C750AB">
      <w:pPr>
        <w:pStyle w:val="5"/>
      </w:pPr>
      <w:r>
        <w:t>УДК 631. 1: 638.1</w:t>
      </w:r>
    </w:p>
    <w:p w:rsidR="00C750AB" w:rsidRPr="00F46916" w:rsidRDefault="00C750AB" w:rsidP="00C750AB">
      <w:pPr>
        <w:rPr>
          <w:lang w:val="ru-RU"/>
        </w:rPr>
      </w:pPr>
    </w:p>
    <w:p w:rsidR="00C750AB" w:rsidRDefault="00C750AB" w:rsidP="00C750A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МАРКЕТИНГОВІ </w:t>
      </w:r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ІДЖЕННЯ РИНКУ ПРОДУКЦІЇ БДЖІЛЬНИЦТВА</w:t>
      </w:r>
    </w:p>
    <w:p w:rsidR="00C750AB" w:rsidRPr="00DB6873" w:rsidRDefault="00C750AB" w:rsidP="00C750AB">
      <w:pPr>
        <w:spacing w:line="360" w:lineRule="auto"/>
        <w:jc w:val="center"/>
        <w:rPr>
          <w:lang w:val="ru-RU"/>
        </w:rPr>
      </w:pPr>
    </w:p>
    <w:p w:rsidR="00C750AB" w:rsidRPr="00F46916" w:rsidRDefault="00C750AB" w:rsidP="00C750AB">
      <w:pPr>
        <w:spacing w:line="360" w:lineRule="auto"/>
        <w:jc w:val="center"/>
        <w:rPr>
          <w:sz w:val="28"/>
          <w:szCs w:val="28"/>
        </w:rPr>
      </w:pPr>
      <w:proofErr w:type="spellStart"/>
      <w:r w:rsidRPr="00F46916">
        <w:rPr>
          <w:sz w:val="28"/>
          <w:szCs w:val="28"/>
        </w:rPr>
        <w:t>Христенко</w:t>
      </w:r>
      <w:proofErr w:type="spellEnd"/>
      <w:r w:rsidRPr="00F46916">
        <w:rPr>
          <w:sz w:val="28"/>
          <w:szCs w:val="28"/>
        </w:rPr>
        <w:t xml:space="preserve"> О.А.</w:t>
      </w:r>
      <w:r w:rsidRPr="00F46916">
        <w:rPr>
          <w:sz w:val="28"/>
          <w:szCs w:val="28"/>
          <w:lang w:val="ru-RU"/>
        </w:rPr>
        <w:t xml:space="preserve">, старший </w:t>
      </w:r>
      <w:proofErr w:type="spellStart"/>
      <w:r w:rsidRPr="00F46916">
        <w:rPr>
          <w:sz w:val="28"/>
          <w:szCs w:val="28"/>
          <w:lang w:val="ru-RU"/>
        </w:rPr>
        <w:t>викладач</w:t>
      </w:r>
      <w:proofErr w:type="spellEnd"/>
      <w:r w:rsidRPr="00F46916">
        <w:rPr>
          <w:sz w:val="28"/>
          <w:szCs w:val="28"/>
          <w:lang w:val="ru-RU"/>
        </w:rPr>
        <w:t>,</w:t>
      </w:r>
      <w:r w:rsidRPr="00F46916">
        <w:rPr>
          <w:sz w:val="28"/>
          <w:szCs w:val="28"/>
        </w:rPr>
        <w:t xml:space="preserve"> Миколаївський державний аграрний університет</w:t>
      </w:r>
    </w:p>
    <w:p w:rsidR="00C750AB" w:rsidRPr="00F46916" w:rsidRDefault="00C750AB" w:rsidP="00C750AB">
      <w:pPr>
        <w:spacing w:line="360" w:lineRule="auto"/>
        <w:jc w:val="center"/>
        <w:rPr>
          <w:sz w:val="28"/>
          <w:szCs w:val="28"/>
        </w:rPr>
      </w:pPr>
    </w:p>
    <w:p w:rsidR="00C750AB" w:rsidRPr="00AA5F38" w:rsidRDefault="00C750AB" w:rsidP="00C750AB">
      <w:pPr>
        <w:spacing w:line="360" w:lineRule="auto"/>
        <w:jc w:val="center"/>
        <w:rPr>
          <w:i/>
          <w:iCs/>
          <w:sz w:val="28"/>
          <w:szCs w:val="28"/>
        </w:rPr>
      </w:pPr>
      <w:r w:rsidRPr="00AA5F38">
        <w:rPr>
          <w:i/>
          <w:iCs/>
          <w:sz w:val="28"/>
          <w:szCs w:val="28"/>
        </w:rPr>
        <w:t>АНОТАЦІЯ</w:t>
      </w:r>
    </w:p>
    <w:p w:rsidR="00C750AB" w:rsidRPr="00AA5F38" w:rsidRDefault="00C750AB" w:rsidP="00C750AB">
      <w:pPr>
        <w:pStyle w:val="a4"/>
        <w:rPr>
          <w:i/>
          <w:iCs/>
        </w:rPr>
      </w:pPr>
      <w:r>
        <w:rPr>
          <w:i/>
          <w:iCs/>
        </w:rPr>
        <w:t>В статті викладені результати дослідження розвитку бджільництва в Україні. Запропоновано</w:t>
      </w:r>
      <w:r w:rsidRPr="00AA5F38">
        <w:rPr>
          <w:i/>
          <w:iCs/>
        </w:rPr>
        <w:t xml:space="preserve"> проведення маркетингового дослідження ринку продукції бджільництва </w:t>
      </w:r>
      <w:r>
        <w:rPr>
          <w:i/>
          <w:iCs/>
          <w:lang w:val="ru-RU"/>
        </w:rPr>
        <w:t>як</w:t>
      </w:r>
      <w:r>
        <w:rPr>
          <w:i/>
          <w:iCs/>
        </w:rPr>
        <w:t xml:space="preserve"> основного чинника розвитку</w:t>
      </w:r>
      <w:r w:rsidRPr="00AA5F38">
        <w:rPr>
          <w:i/>
          <w:iCs/>
        </w:rPr>
        <w:t>.</w:t>
      </w:r>
    </w:p>
    <w:p w:rsidR="00C750AB" w:rsidRPr="00AA5F38" w:rsidRDefault="00C750AB" w:rsidP="00C750AB">
      <w:pPr>
        <w:spacing w:line="360" w:lineRule="auto"/>
        <w:ind w:firstLine="360"/>
        <w:rPr>
          <w:i/>
          <w:iCs/>
        </w:rPr>
      </w:pPr>
    </w:p>
    <w:p w:rsidR="00C750AB" w:rsidRPr="00AA5F38" w:rsidRDefault="00C750AB" w:rsidP="00C750AB">
      <w:pPr>
        <w:tabs>
          <w:tab w:val="left" w:pos="1180"/>
        </w:tabs>
        <w:spacing w:line="360" w:lineRule="auto"/>
        <w:ind w:firstLine="360"/>
        <w:jc w:val="center"/>
        <w:rPr>
          <w:i/>
          <w:iCs/>
          <w:sz w:val="28"/>
          <w:szCs w:val="28"/>
          <w:lang w:val="ru-RU"/>
        </w:rPr>
      </w:pPr>
      <w:r w:rsidRPr="00AA5F38">
        <w:rPr>
          <w:i/>
          <w:iCs/>
          <w:sz w:val="28"/>
          <w:szCs w:val="28"/>
          <w:lang w:val="ru-RU"/>
        </w:rPr>
        <w:t>АННОТАЦИЯ</w:t>
      </w:r>
    </w:p>
    <w:p w:rsidR="00C750AB" w:rsidRPr="00AA5F38" w:rsidRDefault="00C750AB" w:rsidP="00C750AB">
      <w:pPr>
        <w:tabs>
          <w:tab w:val="left" w:pos="1180"/>
        </w:tabs>
        <w:spacing w:line="360" w:lineRule="auto"/>
        <w:ind w:firstLine="36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В статье представлены результаты исследований развития пчеловодства в Украине. Предложено проведение маркетингового исследования рынка продукции пчеловодства как основного фактора развития.  </w:t>
      </w:r>
    </w:p>
    <w:p w:rsidR="00C750AB" w:rsidRPr="0058373D" w:rsidRDefault="00C750AB" w:rsidP="00C750AB">
      <w:pPr>
        <w:spacing w:line="360" w:lineRule="auto"/>
        <w:ind w:firstLine="360"/>
        <w:rPr>
          <w:i/>
          <w:iCs/>
          <w:sz w:val="28"/>
          <w:szCs w:val="28"/>
          <w:lang w:val="ru-RU"/>
        </w:rPr>
      </w:pPr>
    </w:p>
    <w:p w:rsidR="00C750AB" w:rsidRPr="00AA5F38" w:rsidRDefault="00C750AB" w:rsidP="00C750AB">
      <w:pPr>
        <w:tabs>
          <w:tab w:val="left" w:pos="1560"/>
        </w:tabs>
        <w:spacing w:line="360" w:lineRule="auto"/>
        <w:ind w:firstLine="360"/>
        <w:jc w:val="center"/>
        <w:rPr>
          <w:i/>
          <w:iCs/>
          <w:sz w:val="28"/>
          <w:szCs w:val="28"/>
        </w:rPr>
      </w:pPr>
      <w:r w:rsidRPr="00AA5F38">
        <w:rPr>
          <w:i/>
          <w:iCs/>
          <w:sz w:val="28"/>
          <w:szCs w:val="28"/>
          <w:lang w:val="en-US"/>
        </w:rPr>
        <w:t>ANNOTATION</w:t>
      </w:r>
    </w:p>
    <w:p w:rsidR="00C750AB" w:rsidRPr="00AA5F38" w:rsidRDefault="00C750AB" w:rsidP="00C750AB">
      <w:pPr>
        <w:tabs>
          <w:tab w:val="left" w:pos="1560"/>
        </w:tabs>
        <w:spacing w:line="360" w:lineRule="auto"/>
        <w:ind w:firstLine="360"/>
        <w:jc w:val="center"/>
        <w:rPr>
          <w:i/>
          <w:iCs/>
          <w:sz w:val="28"/>
          <w:szCs w:val="28"/>
        </w:rPr>
      </w:pPr>
    </w:p>
    <w:p w:rsidR="00C750AB" w:rsidRPr="007600A1" w:rsidRDefault="00C750AB" w:rsidP="00C750A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 w:rsidRPr="007600A1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In article results of researches of development of beekeeping in Ukraine are presented. Carrying out of marketing research of the market of production of beekeeping as development major factor is offered. </w:t>
      </w:r>
    </w:p>
    <w:p w:rsidR="00C750AB" w:rsidRPr="00AA5F38" w:rsidRDefault="00C750AB" w:rsidP="00C750AB">
      <w:pPr>
        <w:spacing w:line="360" w:lineRule="auto"/>
        <w:ind w:firstLine="360"/>
        <w:jc w:val="both"/>
        <w:rPr>
          <w:lang w:val="en-US"/>
        </w:rPr>
      </w:pPr>
    </w:p>
    <w:p w:rsidR="00C750AB" w:rsidRDefault="00C750AB" w:rsidP="00C750AB">
      <w:pPr>
        <w:pStyle w:val="a4"/>
      </w:pPr>
      <w:r w:rsidRPr="009C6DB2">
        <w:rPr>
          <w:b/>
          <w:bCs/>
        </w:rPr>
        <w:t>Постановка проблеми</w:t>
      </w:r>
      <w:r>
        <w:t xml:space="preserve">. Ринкова орієнтація і реформування  економічних відносин агропромислових підприємств зумовлюють розвиток вільної конкуренції, швидкої реакції на зміни у зовнішньому і внутрішньому середовищі країни, готовність виважено ризикувати ,обов’язково ефективно використовувати науковий, виробничий і людський потенціал та прагнення суспільства до більш високого рівня життя. У нинішніх економічних умовах успішне функціонування ринку може бути забезпечене наявністю кількох </w:t>
      </w:r>
      <w:r>
        <w:lastRenderedPageBreak/>
        <w:t>елементів: виробників і споживачів, попиту і пропозиції, цін ,конкуренції. Закономірно, що об’єднуючою ланкою між даними елементами виступає маркетингова діяльність, за допомогою якої здійснюється вплив на всі стадії відтворювального процесу(виробництво, розподіл, обмін, споживання), а також на зовнішнє середовище.</w:t>
      </w:r>
    </w:p>
    <w:p w:rsidR="00C750AB" w:rsidRDefault="00C750AB" w:rsidP="00C750AB">
      <w:pPr>
        <w:pStyle w:val="a4"/>
      </w:pPr>
      <w:r>
        <w:t>Враховуючи ринкові умови, продукція, що виробляється повинна знайти покупця, тобто ринок збуту. Саме тому проведення маркетингового дослідження є необхідним в сучасних умовах коли проблема реалізації продукції стоїть дуже гостро.</w:t>
      </w:r>
    </w:p>
    <w:p w:rsidR="00C750AB" w:rsidRDefault="00C750AB" w:rsidP="00C750AB">
      <w:pPr>
        <w:pStyle w:val="a4"/>
      </w:pPr>
      <w:r w:rsidRPr="001A56FA">
        <w:rPr>
          <w:b/>
          <w:bCs/>
        </w:rPr>
        <w:t>Аналіз останніх досліджень і публікацій</w:t>
      </w:r>
      <w:r>
        <w:rPr>
          <w:b/>
          <w:bCs/>
        </w:rPr>
        <w:t xml:space="preserve">. </w:t>
      </w:r>
      <w:r w:rsidRPr="00485512">
        <w:t>Як відзначає М.Я. Дем’яненко, важливість розвитку маркетингу на селі полягає в тому, що створює передумови одержання конкурентних переваг; допомагає зменшити рівень ризику; визначає зміни в навколишньому середовищі та попереджує про них ; сприяє формуванню і координації стратегій; підтримує і обґрунтовує рішення; дає можливість аналізувати діяльність підприємства з метою підвищення його ефективності.</w:t>
      </w:r>
      <w:r w:rsidRPr="00D84816">
        <w:rPr>
          <w:b/>
          <w:bCs/>
        </w:rPr>
        <w:t xml:space="preserve"> </w:t>
      </w:r>
      <w:r w:rsidRPr="004216D5">
        <w:rPr>
          <w:b/>
          <w:bCs/>
        </w:rPr>
        <w:t>[</w:t>
      </w:r>
      <w:r w:rsidRPr="0058373D">
        <w:t>1</w:t>
      </w:r>
      <w:r w:rsidRPr="004216D5">
        <w:rPr>
          <w:b/>
          <w:bCs/>
        </w:rPr>
        <w:t>]</w:t>
      </w:r>
      <w:r>
        <w:t xml:space="preserve"> </w:t>
      </w:r>
      <w:r w:rsidRPr="001A56FA">
        <w:t>Проблемами маркетингу в АПК</w:t>
      </w:r>
      <w:r>
        <w:t xml:space="preserve"> займаються також </w:t>
      </w:r>
      <w:proofErr w:type="spellStart"/>
      <w:r>
        <w:t>вчені-</w:t>
      </w:r>
      <w:proofErr w:type="spellEnd"/>
      <w:r>
        <w:t xml:space="preserve"> економісти: Г.М. Биков, О.П. </w:t>
      </w:r>
      <w:proofErr w:type="spellStart"/>
      <w:r>
        <w:t>Гогуля</w:t>
      </w:r>
      <w:proofErr w:type="spellEnd"/>
      <w:r>
        <w:t xml:space="preserve">,  П.Т. </w:t>
      </w:r>
      <w:proofErr w:type="spellStart"/>
      <w:r>
        <w:t>Саблук</w:t>
      </w:r>
      <w:proofErr w:type="spellEnd"/>
      <w:r>
        <w:t xml:space="preserve">, В.І. </w:t>
      </w:r>
      <w:proofErr w:type="spellStart"/>
      <w:r>
        <w:t>Топіха</w:t>
      </w:r>
      <w:proofErr w:type="spellEnd"/>
      <w:r>
        <w:t xml:space="preserve">, І.І. </w:t>
      </w:r>
      <w:proofErr w:type="spellStart"/>
      <w:r>
        <w:t>Червен</w:t>
      </w:r>
      <w:proofErr w:type="spellEnd"/>
      <w:r>
        <w:t>, та інші. Вивчення праць зарубіжних вчених-маркетологів доводить, що ставши невід’ємним елементом економічних систем ринкового типу маркетинг почав відігравати роль одного з факторів їхнього розвитку та економічного зростання підприємств і країни в цілому і головною умовою виходу підприємств АПК з кризи.</w:t>
      </w:r>
      <w:r w:rsidRPr="00D84816">
        <w:rPr>
          <w:b/>
          <w:bCs/>
        </w:rPr>
        <w:t xml:space="preserve"> </w:t>
      </w:r>
      <w:r w:rsidRPr="004216D5">
        <w:rPr>
          <w:b/>
          <w:bCs/>
        </w:rPr>
        <w:t>[</w:t>
      </w:r>
      <w:r w:rsidRPr="0058373D">
        <w:t>1</w:t>
      </w:r>
      <w:r w:rsidRPr="004216D5">
        <w:rPr>
          <w:b/>
          <w:bCs/>
        </w:rPr>
        <w:t>]</w:t>
      </w:r>
    </w:p>
    <w:p w:rsidR="00C750AB" w:rsidRPr="002E60DF" w:rsidRDefault="00C750AB" w:rsidP="00C750AB">
      <w:pPr>
        <w:pStyle w:val="a4"/>
      </w:pPr>
      <w:r w:rsidRPr="001A56FA">
        <w:rPr>
          <w:b/>
          <w:bCs/>
        </w:rPr>
        <w:t>Ціль роботи.</w:t>
      </w:r>
      <w:r>
        <w:rPr>
          <w:b/>
          <w:bCs/>
        </w:rPr>
        <w:t xml:space="preserve"> </w:t>
      </w:r>
      <w:r w:rsidRPr="002E60DF">
        <w:t>Аналіз сучасного стану ринку продукції бджільництва показав що питання пов’язані з реалізацією продукції галузі залишаються не до кінця вирішеними. Саме вони послужили предметом дослідження.</w:t>
      </w:r>
    </w:p>
    <w:p w:rsidR="00C750AB" w:rsidRDefault="00C750AB" w:rsidP="00C750AB">
      <w:pPr>
        <w:pStyle w:val="a4"/>
      </w:pPr>
      <w:r>
        <w:rPr>
          <w:b/>
          <w:bCs/>
        </w:rPr>
        <w:t xml:space="preserve">Виклад основного матеріалу. </w:t>
      </w:r>
      <w:r w:rsidRPr="00E0546C">
        <w:t xml:space="preserve">Провідними виробниками меду </w:t>
      </w:r>
      <w:r>
        <w:t xml:space="preserve">в Україні </w:t>
      </w:r>
      <w:r w:rsidRPr="00E0546C">
        <w:t>є приватні підприємства населення, пито</w:t>
      </w:r>
      <w:r>
        <w:t>м</w:t>
      </w:r>
      <w:r w:rsidRPr="00E0546C">
        <w:t xml:space="preserve">а вага яких </w:t>
      </w:r>
      <w:r>
        <w:t>за</w:t>
      </w:r>
      <w:r w:rsidRPr="00E0546C">
        <w:t xml:space="preserve"> аналізований період становить 93,2-98,1%. За абсолютними показниками Миколаївська область входить в п’ятірку областей з найбільшим обсягом виробництва меду.</w:t>
      </w:r>
    </w:p>
    <w:p w:rsidR="00C750AB" w:rsidRDefault="00C750AB" w:rsidP="00C750AB">
      <w:pPr>
        <w:pStyle w:val="a4"/>
      </w:pPr>
      <w:r>
        <w:lastRenderedPageBreak/>
        <w:t>Але постає питання реалізації продукції, вона реалізується, як правило, через посередників або безпосередньо споживачу. Послуги посередників призводять до зростання ціни на товар для споживача й зменшення прибутку товаровиробників.</w:t>
      </w:r>
    </w:p>
    <w:p w:rsidR="00C750AB" w:rsidRDefault="00C750AB" w:rsidP="00C750AB">
      <w:pPr>
        <w:pStyle w:val="a4"/>
      </w:pPr>
      <w:r>
        <w:t xml:space="preserve">Рівень цін на мед, що складаються в </w:t>
      </w:r>
      <w:proofErr w:type="spellStart"/>
      <w:r>
        <w:t>агроформуваннях</w:t>
      </w:r>
      <w:proofErr w:type="spellEnd"/>
      <w:r>
        <w:t xml:space="preserve"> за всіма каналами реалізації, залежить від обсягу пропозиції, структури збуту, платоспроможності споживачів, сезону продажу. За аналізований період має місце загальна тенденція підвищення реалізаційних цін. </w:t>
      </w:r>
    </w:p>
    <w:p w:rsidR="00C750AB" w:rsidRDefault="00C750AB" w:rsidP="00C750AB">
      <w:pPr>
        <w:pStyle w:val="a4"/>
      </w:pPr>
      <w:r>
        <w:rPr>
          <w:noProof/>
          <w:lang w:val="ru-RU"/>
        </w:rPr>
        <w:drawing>
          <wp:inline distT="0" distB="0" distL="0" distR="0">
            <wp:extent cx="6029325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AB" w:rsidRPr="00E0546C" w:rsidRDefault="00C750AB" w:rsidP="00C750AB">
      <w:pPr>
        <w:pStyle w:val="a4"/>
      </w:pPr>
    </w:p>
    <w:p w:rsidR="00C750AB" w:rsidRDefault="00C750AB" w:rsidP="00C750AB">
      <w:pPr>
        <w:pStyle w:val="a4"/>
      </w:pPr>
      <w:r w:rsidRPr="00A72BDD">
        <w:t xml:space="preserve">Структура збуту меду </w:t>
      </w:r>
      <w:proofErr w:type="spellStart"/>
      <w:r w:rsidRPr="00A72BDD">
        <w:t>агроформ</w:t>
      </w:r>
      <w:r>
        <w:t>у</w:t>
      </w:r>
      <w:r w:rsidRPr="00A72BDD">
        <w:t>ваннями</w:t>
      </w:r>
      <w:proofErr w:type="spellEnd"/>
      <w:r w:rsidRPr="00A72BDD">
        <w:t xml:space="preserve"> в останні роки помітно змінилася, характеризуючись зменшенням питомої ваги обсягів продажу населенню, певною стабілізацією долі продажу його на ринку та збільшенням питомої ваги реалізованих обсягів пайовикам та за іншими каналами.</w:t>
      </w:r>
      <w:r w:rsidRPr="002613F9">
        <w:t xml:space="preserve"> </w:t>
      </w:r>
      <w:r>
        <w:t xml:space="preserve">Відсутній облік реалізації меду переробним підприємствам, а переробкою продукції повинні займатись як великі державні і кооперативні підприємства, так і невеликі підприємства різних форм </w:t>
      </w:r>
      <w:proofErr w:type="spellStart"/>
      <w:r>
        <w:t>власносності</w:t>
      </w:r>
      <w:proofErr w:type="spellEnd"/>
      <w:r>
        <w:t>.</w:t>
      </w:r>
    </w:p>
    <w:p w:rsidR="00C750AB" w:rsidRDefault="00C750AB" w:rsidP="00C750AB">
      <w:pPr>
        <w:jc w:val="right"/>
        <w:rPr>
          <w:sz w:val="28"/>
          <w:szCs w:val="28"/>
        </w:rPr>
      </w:pPr>
    </w:p>
    <w:p w:rsidR="00C750AB" w:rsidRDefault="00C750AB" w:rsidP="00C750AB">
      <w:pPr>
        <w:jc w:val="right"/>
        <w:rPr>
          <w:sz w:val="28"/>
          <w:szCs w:val="28"/>
        </w:rPr>
      </w:pPr>
    </w:p>
    <w:p w:rsidR="00C750AB" w:rsidRDefault="00C750AB" w:rsidP="00C750AB">
      <w:pPr>
        <w:jc w:val="right"/>
        <w:rPr>
          <w:sz w:val="28"/>
          <w:szCs w:val="28"/>
        </w:rPr>
      </w:pPr>
    </w:p>
    <w:p w:rsidR="00C750AB" w:rsidRDefault="00C750AB" w:rsidP="00C750AB">
      <w:pPr>
        <w:jc w:val="right"/>
        <w:rPr>
          <w:sz w:val="28"/>
          <w:szCs w:val="28"/>
        </w:rPr>
      </w:pPr>
    </w:p>
    <w:p w:rsidR="00C750AB" w:rsidRDefault="00C750AB" w:rsidP="00C750AB">
      <w:pPr>
        <w:jc w:val="right"/>
        <w:rPr>
          <w:sz w:val="28"/>
          <w:szCs w:val="28"/>
        </w:rPr>
      </w:pPr>
    </w:p>
    <w:p w:rsidR="00C750AB" w:rsidRDefault="00C750AB" w:rsidP="00C750AB">
      <w:pPr>
        <w:jc w:val="right"/>
        <w:rPr>
          <w:sz w:val="28"/>
          <w:szCs w:val="28"/>
        </w:rPr>
      </w:pPr>
    </w:p>
    <w:p w:rsidR="00C750AB" w:rsidRDefault="00C750AB" w:rsidP="00C750A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:rsidR="00C750AB" w:rsidRPr="00FE4367" w:rsidRDefault="00C750AB" w:rsidP="00C750AB">
      <w:pPr>
        <w:jc w:val="center"/>
        <w:rPr>
          <w:sz w:val="28"/>
          <w:szCs w:val="28"/>
        </w:rPr>
      </w:pPr>
      <w:r w:rsidRPr="00FE4367">
        <w:rPr>
          <w:sz w:val="28"/>
          <w:szCs w:val="28"/>
        </w:rPr>
        <w:t>Структура реалізації меду</w:t>
      </w:r>
      <w:r>
        <w:rPr>
          <w:sz w:val="28"/>
          <w:szCs w:val="28"/>
        </w:rPr>
        <w:t xml:space="preserve"> за каналами</w:t>
      </w:r>
    </w:p>
    <w:p w:rsidR="00C750AB" w:rsidRPr="00FE4367" w:rsidRDefault="00C750AB" w:rsidP="00C750AB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1976"/>
        <w:gridCol w:w="1518"/>
        <w:gridCol w:w="1518"/>
        <w:gridCol w:w="1519"/>
        <w:gridCol w:w="1520"/>
        <w:gridCol w:w="1520"/>
      </w:tblGrid>
      <w:tr w:rsidR="00C750AB" w:rsidRPr="00FE4367" w:rsidTr="00587E3C">
        <w:trPr>
          <w:trHeight w:val="270"/>
        </w:trPr>
        <w:tc>
          <w:tcPr>
            <w:tcW w:w="2004" w:type="dxa"/>
            <w:vMerge w:val="restart"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Структура</w:t>
            </w:r>
          </w:p>
        </w:tc>
        <w:tc>
          <w:tcPr>
            <w:tcW w:w="7850" w:type="dxa"/>
            <w:gridSpan w:val="5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Роки</w:t>
            </w:r>
          </w:p>
        </w:tc>
      </w:tr>
      <w:tr w:rsidR="00C750AB" w:rsidRPr="00FE4367" w:rsidTr="00587E3C">
        <w:trPr>
          <w:trHeight w:val="360"/>
        </w:trPr>
        <w:tc>
          <w:tcPr>
            <w:tcW w:w="2004" w:type="dxa"/>
            <w:vMerge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2004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2005</w:t>
            </w:r>
          </w:p>
        </w:tc>
        <w:tc>
          <w:tcPr>
            <w:tcW w:w="1570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2006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2007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2008</w:t>
            </w:r>
          </w:p>
        </w:tc>
      </w:tr>
      <w:tr w:rsidR="00C750AB" w:rsidRPr="00FE4367" w:rsidTr="00587E3C">
        <w:trPr>
          <w:trHeight w:val="647"/>
        </w:trPr>
        <w:tc>
          <w:tcPr>
            <w:tcW w:w="2004" w:type="dxa"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Населенню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74,3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62,9</w:t>
            </w:r>
          </w:p>
        </w:tc>
        <w:tc>
          <w:tcPr>
            <w:tcW w:w="1570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52,0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37,1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38,6</w:t>
            </w:r>
          </w:p>
        </w:tc>
      </w:tr>
      <w:tr w:rsidR="00C750AB" w:rsidRPr="00FE4367" w:rsidTr="00587E3C">
        <w:trPr>
          <w:trHeight w:val="647"/>
        </w:trPr>
        <w:tc>
          <w:tcPr>
            <w:tcW w:w="2004" w:type="dxa"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Пайовикам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12,5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8,5</w:t>
            </w:r>
          </w:p>
        </w:tc>
        <w:tc>
          <w:tcPr>
            <w:tcW w:w="1570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23,7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26,6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33,4</w:t>
            </w:r>
          </w:p>
        </w:tc>
      </w:tr>
      <w:tr w:rsidR="00C750AB" w:rsidRPr="00FE4367" w:rsidTr="00587E3C">
        <w:trPr>
          <w:trHeight w:val="647"/>
        </w:trPr>
        <w:tc>
          <w:tcPr>
            <w:tcW w:w="2004" w:type="dxa"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На ринку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10,3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24,6</w:t>
            </w:r>
          </w:p>
        </w:tc>
        <w:tc>
          <w:tcPr>
            <w:tcW w:w="1570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13,5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22,1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14,6</w:t>
            </w:r>
          </w:p>
        </w:tc>
      </w:tr>
      <w:tr w:rsidR="00C750AB" w:rsidRPr="00FE4367" w:rsidTr="00587E3C">
        <w:trPr>
          <w:trHeight w:val="647"/>
        </w:trPr>
        <w:tc>
          <w:tcPr>
            <w:tcW w:w="2004" w:type="dxa"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За іншими каналами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2,9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4,0</w:t>
            </w:r>
          </w:p>
        </w:tc>
        <w:tc>
          <w:tcPr>
            <w:tcW w:w="1570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10,8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14,2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13,4</w:t>
            </w:r>
          </w:p>
        </w:tc>
      </w:tr>
      <w:tr w:rsidR="00C750AB" w:rsidRPr="00FE4367" w:rsidTr="00587E3C">
        <w:trPr>
          <w:trHeight w:val="683"/>
        </w:trPr>
        <w:tc>
          <w:tcPr>
            <w:tcW w:w="2004" w:type="dxa"/>
          </w:tcPr>
          <w:p w:rsidR="00C750AB" w:rsidRPr="00FE4367" w:rsidRDefault="00C750AB" w:rsidP="00587E3C">
            <w:pPr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Всього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100</w:t>
            </w:r>
          </w:p>
        </w:tc>
        <w:tc>
          <w:tcPr>
            <w:tcW w:w="1569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100</w:t>
            </w:r>
          </w:p>
        </w:tc>
        <w:tc>
          <w:tcPr>
            <w:tcW w:w="1570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100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100</w:t>
            </w:r>
          </w:p>
        </w:tc>
        <w:tc>
          <w:tcPr>
            <w:tcW w:w="1571" w:type="dxa"/>
            <w:vAlign w:val="center"/>
          </w:tcPr>
          <w:p w:rsidR="00C750AB" w:rsidRPr="00FE4367" w:rsidRDefault="00C750AB" w:rsidP="00587E3C">
            <w:pPr>
              <w:jc w:val="center"/>
              <w:rPr>
                <w:sz w:val="28"/>
                <w:szCs w:val="28"/>
              </w:rPr>
            </w:pPr>
            <w:r w:rsidRPr="00FE4367">
              <w:rPr>
                <w:sz w:val="28"/>
                <w:szCs w:val="28"/>
              </w:rPr>
              <w:t>100</w:t>
            </w:r>
          </w:p>
        </w:tc>
      </w:tr>
    </w:tbl>
    <w:p w:rsidR="00C750AB" w:rsidRPr="00FE4367" w:rsidRDefault="00C750AB" w:rsidP="00C750AB">
      <w:pPr>
        <w:rPr>
          <w:sz w:val="28"/>
          <w:szCs w:val="28"/>
        </w:rPr>
      </w:pPr>
    </w:p>
    <w:p w:rsidR="00C750AB" w:rsidRDefault="00C750AB" w:rsidP="00C750AB">
      <w:pPr>
        <w:pStyle w:val="a4"/>
      </w:pPr>
      <w:r w:rsidRPr="002115D5">
        <w:t xml:space="preserve">Будучи у 2000-2008 роках одним з найбільших виробників меду у світі і виробляючи щороку від </w:t>
      </w:r>
      <w:r>
        <w:t>52,4 до 79,8 тисяч тон продукції, Україна ще не використала повністю свій експортний потенціал.</w:t>
      </w:r>
      <w:r w:rsidRPr="009044DC">
        <w:t xml:space="preserve"> </w:t>
      </w:r>
      <w:r>
        <w:t>Забезпечення реалізації продукції потребує освоєння нових додаткових ринків, включаючи вихід на зарубіжні ринки. Одним з чинників які впливають на обмежений експорт меду є фактична відсутність в країні спеціалізованих лабораторій з оцінки продуктів бджільництва і в першу чергу меду на рівні вимог Євросоюзу. В умовах сьогодення та в найближчій перспективі сильними її конкурентами у світовій торгівлі медом будуть такі відомі країни – експортери, як Аргентина, Індія, Китай. Високими темпами розвиватимуть бджільництво і нарощуватимуть експорт меду Великобританія, Австралія та Південна Корея.</w:t>
      </w:r>
    </w:p>
    <w:p w:rsidR="00C750AB" w:rsidRDefault="00C750AB" w:rsidP="00C750AB">
      <w:pPr>
        <w:pStyle w:val="a4"/>
      </w:pPr>
      <w:r>
        <w:t>У згаданих зарубіжних країнах створено лабораторії, які сертифікують мед, сприяючи його просуванню на світовий ринок. Набутий досвід таких країн варто впровадити і в Україні.</w:t>
      </w:r>
    </w:p>
    <w:p w:rsidR="00C750AB" w:rsidRPr="002115D5" w:rsidRDefault="00C750AB" w:rsidP="00C750AB">
      <w:pPr>
        <w:pStyle w:val="a4"/>
      </w:pPr>
      <w:r>
        <w:t xml:space="preserve">В США програма доступу на ринки збуту була заснована відповідно до Закону про сільське господарство в 1996-2002 роках . Для її реалізації щорічно асигнується по 90 млн. дол., формуються партнерства між </w:t>
      </w:r>
      <w:r>
        <w:lastRenderedPageBreak/>
        <w:t>Міністерством сільського господарства, приватними підприємствами, сільськогосподарськими кооперативами, інститутами й асоціаціями, що ділять із державою витрати по розвитку експорту(проведенню маркетингових досліджень, виставок). Аналогічні принципи закладені в Програму кооперування з метою розвитку експорту(проведення маркетингових досліджень, виставок)</w:t>
      </w:r>
    </w:p>
    <w:p w:rsidR="00C750AB" w:rsidRDefault="00C750AB" w:rsidP="00C750AB">
      <w:pPr>
        <w:pStyle w:val="a4"/>
      </w:pPr>
      <w:r>
        <w:rPr>
          <w:b/>
          <w:bCs/>
        </w:rPr>
        <w:t xml:space="preserve">Висновки. </w:t>
      </w:r>
      <w:r>
        <w:t>Проведені дослідження показують</w:t>
      </w:r>
      <w:r w:rsidRPr="00DC21D8">
        <w:t>,</w:t>
      </w:r>
      <w:r>
        <w:t xml:space="preserve"> що</w:t>
      </w:r>
      <w:r w:rsidRPr="00DC21D8">
        <w:t xml:space="preserve"> процес виробництва має вважатися завершеним, якщо вироблена пр</w:t>
      </w:r>
      <w:r>
        <w:t>одукція доведена до споживача у</w:t>
      </w:r>
      <w:r w:rsidRPr="00BE76B0">
        <w:rPr>
          <w:lang w:val="ru-RU"/>
        </w:rPr>
        <w:t xml:space="preserve">  </w:t>
      </w:r>
      <w:r>
        <w:t>зручному для споживання чи зберігання вигляді. Це ж стосується і бджільництва. В умовах сьогодення   проблема реалізації меду є найголовнішою проблемою розвитку галузі.</w:t>
      </w:r>
    </w:p>
    <w:p w:rsidR="00C750AB" w:rsidRPr="00246AD2" w:rsidRDefault="00C750AB" w:rsidP="00C750AB">
      <w:pPr>
        <w:pStyle w:val="a4"/>
        <w:jc w:val="center"/>
        <w:rPr>
          <w:b/>
          <w:bCs/>
        </w:rPr>
      </w:pPr>
    </w:p>
    <w:p w:rsidR="00C750AB" w:rsidRPr="001A56FA" w:rsidRDefault="00C750AB" w:rsidP="00C750AB">
      <w:pPr>
        <w:pStyle w:val="a4"/>
        <w:jc w:val="center"/>
        <w:rPr>
          <w:b/>
          <w:bCs/>
        </w:rPr>
      </w:pPr>
      <w:r w:rsidRPr="001A56FA">
        <w:rPr>
          <w:b/>
          <w:bCs/>
          <w:lang w:val="ru-RU"/>
        </w:rPr>
        <w:t>Л</w:t>
      </w:r>
      <w:r w:rsidRPr="001A56FA">
        <w:rPr>
          <w:b/>
          <w:bCs/>
        </w:rPr>
        <w:t>ІТЕРАТУРА</w:t>
      </w:r>
    </w:p>
    <w:p w:rsidR="00C750AB" w:rsidRDefault="00C750AB" w:rsidP="00C750AB">
      <w:pPr>
        <w:pStyle w:val="4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 </w:t>
      </w:r>
      <w:r w:rsidRPr="0058373D">
        <w:rPr>
          <w:i w:val="0"/>
          <w:iCs w:val="0"/>
          <w:sz w:val="28"/>
          <w:szCs w:val="28"/>
        </w:rPr>
        <w:t>Дем’яненко М.Я. Проблеми фінансової підтримки малих і середніх підприємств на селі</w:t>
      </w:r>
      <w:r>
        <w:rPr>
          <w:i w:val="0"/>
          <w:iCs w:val="0"/>
          <w:sz w:val="28"/>
          <w:szCs w:val="28"/>
        </w:rPr>
        <w:t xml:space="preserve"> /</w:t>
      </w:r>
      <w:r w:rsidRPr="00747315">
        <w:rPr>
          <w:i w:val="0"/>
          <w:iCs w:val="0"/>
          <w:sz w:val="28"/>
          <w:szCs w:val="28"/>
        </w:rPr>
        <w:t xml:space="preserve"> </w:t>
      </w:r>
      <w:r w:rsidRPr="0058373D">
        <w:rPr>
          <w:i w:val="0"/>
          <w:iCs w:val="0"/>
          <w:sz w:val="28"/>
          <w:szCs w:val="28"/>
        </w:rPr>
        <w:t>Дем’яненко М.Я.</w:t>
      </w:r>
      <w:r>
        <w:rPr>
          <w:i w:val="0"/>
          <w:iCs w:val="0"/>
          <w:sz w:val="28"/>
          <w:szCs w:val="28"/>
        </w:rPr>
        <w:t>// За ред.. М.Я. Дем’яненка.-К.:ННЦ ІАЕ, 2004.- с.240</w:t>
      </w:r>
    </w:p>
    <w:p w:rsidR="00C750AB" w:rsidRDefault="00C750AB" w:rsidP="00C750AB">
      <w:pPr>
        <w:pStyle w:val="2"/>
        <w:tabs>
          <w:tab w:val="num" w:pos="3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Г.М. Приймак Проблеми галузі, напрями вирішення /</w:t>
      </w:r>
      <w:r w:rsidRPr="00747315">
        <w:rPr>
          <w:sz w:val="28"/>
          <w:szCs w:val="28"/>
        </w:rPr>
        <w:t xml:space="preserve"> </w:t>
      </w:r>
      <w:r>
        <w:rPr>
          <w:sz w:val="28"/>
          <w:szCs w:val="28"/>
        </w:rPr>
        <w:t>Г.М. Приймак // Пасіка 2008 №12.- с. 3-5</w:t>
      </w:r>
    </w:p>
    <w:p w:rsidR="00C750AB" w:rsidRDefault="00C750AB" w:rsidP="00C750AB">
      <w:pPr>
        <w:pStyle w:val="2"/>
        <w:tabs>
          <w:tab w:val="num" w:pos="3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А.С.Пономарьов Пріоритети бджільництва США/</w:t>
      </w:r>
      <w:r w:rsidRPr="00747315">
        <w:rPr>
          <w:sz w:val="28"/>
          <w:szCs w:val="28"/>
        </w:rPr>
        <w:t xml:space="preserve"> </w:t>
      </w:r>
      <w:r>
        <w:rPr>
          <w:sz w:val="28"/>
          <w:szCs w:val="28"/>
        </w:rPr>
        <w:t>А.С.Пономарьов // Пасіка 2008№11 с.11-15</w:t>
      </w:r>
    </w:p>
    <w:p w:rsidR="00C750AB" w:rsidRDefault="00C750AB" w:rsidP="00C750AB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Ціни,  витрати  прибутки </w:t>
      </w:r>
      <w:proofErr w:type="spellStart"/>
      <w:r>
        <w:rPr>
          <w:sz w:val="28"/>
          <w:szCs w:val="28"/>
        </w:rPr>
        <w:t>агровиробництва</w:t>
      </w:r>
      <w:proofErr w:type="spellEnd"/>
      <w:r>
        <w:rPr>
          <w:sz w:val="28"/>
          <w:szCs w:val="28"/>
        </w:rPr>
        <w:t xml:space="preserve">  та інфраструктура продовольчих ринків.</w:t>
      </w:r>
      <w:r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 ред. О.М. </w:t>
      </w:r>
      <w:proofErr w:type="spellStart"/>
      <w:r>
        <w:rPr>
          <w:sz w:val="28"/>
          <w:szCs w:val="28"/>
        </w:rPr>
        <w:t>Шпичака.-</w:t>
      </w:r>
      <w:proofErr w:type="spellEnd"/>
      <w:r>
        <w:rPr>
          <w:sz w:val="28"/>
          <w:szCs w:val="28"/>
        </w:rPr>
        <w:t xml:space="preserve"> К.:ІАЕ, 2000.- 585 с.</w:t>
      </w:r>
    </w:p>
    <w:p w:rsidR="00C750AB" w:rsidRDefault="00C750AB" w:rsidP="00C750AB">
      <w:pPr>
        <w:pStyle w:val="2"/>
        <w:tabs>
          <w:tab w:val="num" w:pos="3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Чехов С.А. Проблеми і перспективи розвитку бджільництва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Україні./ Чехов С.А. // Вісник аграрної       науки. – 2000. - №9.-с.79-80.</w:t>
      </w:r>
    </w:p>
    <w:p w:rsidR="00C750AB" w:rsidRDefault="00C750AB" w:rsidP="00C750AB">
      <w:pPr>
        <w:pStyle w:val="2"/>
        <w:tabs>
          <w:tab w:val="num" w:pos="3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О.В. </w:t>
      </w:r>
      <w:proofErr w:type="spellStart"/>
      <w:r>
        <w:rPr>
          <w:sz w:val="28"/>
          <w:szCs w:val="28"/>
        </w:rPr>
        <w:t>Штанько</w:t>
      </w:r>
      <w:proofErr w:type="spellEnd"/>
      <w:r>
        <w:rPr>
          <w:sz w:val="28"/>
          <w:szCs w:val="28"/>
        </w:rPr>
        <w:t xml:space="preserve"> Особливості формування ринку Українського меду / О.В. </w:t>
      </w:r>
      <w:proofErr w:type="spellStart"/>
      <w:r>
        <w:rPr>
          <w:sz w:val="28"/>
          <w:szCs w:val="28"/>
        </w:rPr>
        <w:t>Штанько</w:t>
      </w:r>
      <w:proofErr w:type="spellEnd"/>
      <w:r>
        <w:rPr>
          <w:sz w:val="28"/>
          <w:szCs w:val="28"/>
        </w:rPr>
        <w:t xml:space="preserve"> Л.Л.Дудка В.М.</w:t>
      </w:r>
      <w:proofErr w:type="spellStart"/>
      <w:r>
        <w:rPr>
          <w:sz w:val="28"/>
          <w:szCs w:val="28"/>
        </w:rPr>
        <w:t>Дегодюк</w:t>
      </w:r>
      <w:proofErr w:type="spellEnd"/>
      <w:r>
        <w:rPr>
          <w:sz w:val="28"/>
          <w:szCs w:val="28"/>
        </w:rPr>
        <w:t xml:space="preserve"> // Пасіка 2009 №3.-  2-5</w:t>
      </w:r>
    </w:p>
    <w:p w:rsidR="00B878BB" w:rsidRDefault="00B878BB"/>
    <w:sectPr w:rsidR="00B878BB" w:rsidSect="00B8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0AB"/>
    <w:rsid w:val="00381E77"/>
    <w:rsid w:val="009B1856"/>
    <w:rsid w:val="00B878BB"/>
    <w:rsid w:val="00C750AB"/>
    <w:rsid w:val="00FB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C750AB"/>
    <w:pPr>
      <w:keepNext/>
      <w:spacing w:line="360" w:lineRule="auto"/>
      <w:outlineLvl w:val="4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5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C75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a0"/>
    <w:rsid w:val="00C750AB"/>
  </w:style>
  <w:style w:type="character" w:customStyle="1" w:styleId="40">
    <w:name w:val="Заголовок 4 Знак"/>
    <w:basedOn w:val="a0"/>
    <w:link w:val="4"/>
    <w:uiPriority w:val="9"/>
    <w:semiHidden/>
    <w:rsid w:val="00C750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rsid w:val="00C750AB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50A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ody Text"/>
    <w:basedOn w:val="a"/>
    <w:link w:val="a7"/>
    <w:uiPriority w:val="99"/>
    <w:rsid w:val="00C750AB"/>
    <w:pPr>
      <w:spacing w:line="360" w:lineRule="auto"/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C750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0AB"/>
    <w:pPr>
      <w:spacing w:line="360" w:lineRule="auto"/>
      <w:ind w:left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750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uiPriority w:val="99"/>
    <w:rsid w:val="00C7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54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3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2013-12-11T13:56:00Z</dcterms:created>
  <dcterms:modified xsi:type="dcterms:W3CDTF">2013-12-15T17:38:00Z</dcterms:modified>
</cp:coreProperties>
</file>